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E859E" w14:textId="77777777" w:rsidR="00C976A2" w:rsidRPr="007A622C" w:rsidRDefault="00C976A2" w:rsidP="00C976A2">
      <w:pPr>
        <w:spacing w:before="360"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7A622C">
        <w:rPr>
          <w:rFonts w:ascii="Times New Roman" w:hAnsi="Times New Roman"/>
          <w:b/>
          <w:sz w:val="24"/>
          <w:szCs w:val="24"/>
          <w:lang w:val="en-US"/>
        </w:rPr>
        <w:t>Analysis of the specific pentosan content</w:t>
      </w:r>
    </w:p>
    <w:p w14:paraId="1E68EABF" w14:textId="77777777" w:rsidR="00C976A2" w:rsidRPr="007A622C" w:rsidRDefault="00C976A2" w:rsidP="00C976A2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7A622C">
        <w:rPr>
          <w:rFonts w:ascii="Times New Roman" w:hAnsi="Times New Roman"/>
          <w:sz w:val="24"/>
          <w:szCs w:val="24"/>
          <w:lang w:val="en-US"/>
        </w:rPr>
        <w:t xml:space="preserve">The specific content of pentosans in wood was estimated using the modified Tollens method [55, 56] by converting them to furfural during distillation in the presence of HCl. For this analysis, two 10 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cm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long cuts of stem per plant, representing the 1st and the 2nd year growing wood, respectively, were taken from 18-month-old plants. The cuts were stripped off their bark, and the air-dried sawdust samples weighing 0.1 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g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were prepared. The optical absorption of the distillate was measured by a two-beam spectrophotometer at a wavelength of 277 nm. The dryness coefficient of wood (</w:t>
      </w:r>
      <w:r w:rsidRPr="007A622C">
        <w:rPr>
          <w:rFonts w:ascii="Times New Roman" w:hAnsi="Times New Roman"/>
          <w:sz w:val="24"/>
          <w:szCs w:val="24"/>
        </w:rPr>
        <w:t>С</w:t>
      </w:r>
      <w:r w:rsidRPr="007A622C">
        <w:rPr>
          <w:rFonts w:ascii="Times New Roman" w:hAnsi="Times New Roman"/>
          <w:sz w:val="24"/>
          <w:szCs w:val="24"/>
          <w:vertAlign w:val="subscript"/>
          <w:lang w:val="en-US"/>
        </w:rPr>
        <w:t>dry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) was calculated from the following formulas: </w:t>
      </w:r>
      <m:oMath>
        <m:r>
          <m:rPr>
            <m:nor/>
          </m:rPr>
          <w:rPr>
            <w:rFonts w:ascii="Times New Roman" w:hAnsi="Times New Roman"/>
            <w:i/>
            <w:sz w:val="24"/>
            <w:szCs w:val="24"/>
            <w:lang w:val="en-US"/>
          </w:rPr>
          <m:t>W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m1- m2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m1-m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and</m:t>
        </m:r>
        <m:r>
          <w:rPr>
            <w:rFonts w:ascii="Cambria Math" w:hAnsi="Cambria Math"/>
            <w:sz w:val="24"/>
            <w:szCs w:val="24"/>
            <w:lang w:val="en-US"/>
          </w:rPr>
          <m:t xml:space="preserve"> С</m:t>
        </m:r>
      </m:oMath>
      <w:r w:rsidRPr="007A622C">
        <w:rPr>
          <w:rFonts w:ascii="Times New Roman" w:hAnsi="Times New Roman"/>
          <w:i/>
          <w:sz w:val="24"/>
          <w:szCs w:val="24"/>
          <w:vertAlign w:val="subscript"/>
          <w:lang w:val="en-US"/>
        </w:rPr>
        <w:t>dry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  <w:lang w:val="en-US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sz w:val="24"/>
                <w:szCs w:val="24"/>
                <w:lang w:val="en-US"/>
              </w:rPr>
              <m:t xml:space="preserve">100 - </m:t>
            </m:r>
            <m:r>
              <m:rPr>
                <m:nor/>
              </m:rPr>
              <w:rPr>
                <w:rFonts w:ascii="Times New Roman" w:hAnsi="Times New Roman"/>
                <w:i/>
                <w:sz w:val="24"/>
                <w:szCs w:val="24"/>
                <w:lang w:val="en-US"/>
              </w:rPr>
              <m:t>W</m:t>
            </m:r>
          </m:num>
          <m:den>
            <m:r>
              <m:rPr>
                <m:nor/>
              </m:rPr>
              <w:rPr>
                <w:rFonts w:ascii="Times New Roman" w:hAnsi="Times New Roman"/>
                <w:sz w:val="24"/>
                <w:szCs w:val="24"/>
                <w:lang w:val="en-US"/>
              </w:rPr>
              <m:t>100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 xml:space="preserve"> ,</m:t>
        </m:r>
      </m:oMath>
      <w:r w:rsidRPr="007A622C">
        <w:rPr>
          <w:rFonts w:ascii="Times New Roman" w:hAnsi="Times New Roman"/>
          <w:sz w:val="24"/>
          <w:szCs w:val="24"/>
          <w:lang w:val="en-US"/>
        </w:rPr>
        <w:t xml:space="preserve"> where 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W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– the relative humidity of the wood, m – the mass of the empty bag (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g</w:t>
      </w:r>
      <w:r w:rsidRPr="007A622C">
        <w:rPr>
          <w:rFonts w:ascii="Times New Roman" w:hAnsi="Times New Roman"/>
          <w:sz w:val="24"/>
          <w:szCs w:val="24"/>
          <w:lang w:val="en-US"/>
        </w:rPr>
        <w:t>), m1 and m2 – the weights (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g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) of the bag with the sample before and after drying, respectively. Then, the content of pentosans in dry matter was calculated according to the formula: </w:t>
      </w:r>
      <m:oMath>
        <m:r>
          <w:rPr>
            <w:rFonts w:ascii="Cambria Math" w:hAnsi="Cambria Math"/>
            <w:noProof/>
            <w:sz w:val="24"/>
            <w:szCs w:val="24"/>
            <w:lang w:val="en-US"/>
          </w:rPr>
          <m:t>A</m:t>
        </m:r>
        <m:r>
          <m:rPr>
            <m:sty m:val="p"/>
          </m:rPr>
          <w:rPr>
            <w:rFonts w:ascii="Cambria Math" w:hAnsi="Cambria Math"/>
            <w:noProof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noProof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D×n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m</m:t>
            </m:r>
          </m:den>
        </m:f>
        <m:r>
          <m:rPr>
            <m:sty m:val="p"/>
          </m:rPr>
          <w:rPr>
            <w:rFonts w:ascii="Cambria Math" w:hAnsi="Cambria Math"/>
            <w:noProof/>
            <w:sz w:val="24"/>
            <w:szCs w:val="24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 w:hint="eastAsia"/>
            <w:noProof/>
            <w:sz w:val="24"/>
            <w:szCs w:val="24"/>
            <w:lang w:val="en-US"/>
          </w:rPr>
          <m:t>×</m:t>
        </m:r>
        <m:r>
          <m:rPr>
            <m:nor/>
          </m:rPr>
          <w:rPr>
            <w:rFonts w:ascii="Times New Roman" w:hAnsi="Times New Roman"/>
            <w:i/>
            <w:sz w:val="24"/>
            <w:szCs w:val="24"/>
          </w:rPr>
          <m:t>С</m:t>
        </m:r>
        <m:r>
          <m:rPr>
            <m:nor/>
          </m:rPr>
          <w:rPr>
            <w:rFonts w:ascii="Times New Roman" w:hAnsi="Times New Roman"/>
            <w:i/>
            <w:sz w:val="24"/>
            <w:szCs w:val="24"/>
            <w:lang w:val="en-US"/>
          </w:rPr>
          <m:t>dry</m:t>
        </m:r>
        <m:r>
          <m:rPr>
            <m:nor/>
          </m:rPr>
          <w:rPr>
            <w:rFonts w:ascii="Times New Roman" w:hAnsi="Times New Roman"/>
            <w:sz w:val="24"/>
            <w:szCs w:val="24"/>
            <w:lang w:val="en-US"/>
          </w:rPr>
          <m:t xml:space="preserve"> </m:t>
        </m:r>
      </m:oMath>
      <w:r w:rsidRPr="007A622C">
        <w:rPr>
          <w:rFonts w:ascii="Times New Roman" w:hAnsi="Times New Roman"/>
          <w:noProof/>
          <w:sz w:val="24"/>
          <w:szCs w:val="24"/>
          <w:lang w:val="en-US"/>
        </w:rPr>
        <w:t xml:space="preserve">, 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where 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A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– the percentage of pentosans in the air-dry sample, D – the average optical absorption of the furfural solution obtained from the distillation, n – the conversion factor for the percentage of furfural to pentosans (2.434 for hardwoods), m – the mass of the sawdust sample (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g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7A622C">
        <w:rPr>
          <w:rFonts w:ascii="Times New Roman" w:hAnsi="Times New Roman"/>
          <w:sz w:val="24"/>
          <w:szCs w:val="24"/>
        </w:rPr>
        <w:t>С</w:t>
      </w:r>
      <w:r w:rsidRPr="007A622C">
        <w:rPr>
          <w:rFonts w:ascii="Times New Roman" w:hAnsi="Times New Roman"/>
          <w:sz w:val="24"/>
          <w:szCs w:val="24"/>
          <w:vertAlign w:val="subscript"/>
          <w:lang w:val="en-US"/>
        </w:rPr>
        <w:t>dry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– coefficient of dryness. For clarity, the percentage of pentosans was converted to absolute values as 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mg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/ </w:t>
      </w:r>
      <w:r w:rsidRPr="007A622C">
        <w:rPr>
          <w:rFonts w:ascii="Times New Roman" w:hAnsi="Times New Roman"/>
          <w:i/>
          <w:sz w:val="24"/>
          <w:szCs w:val="24"/>
          <w:lang w:val="en-US"/>
        </w:rPr>
        <w:t>g</w:t>
      </w:r>
      <w:r w:rsidRPr="007A622C">
        <w:rPr>
          <w:rFonts w:ascii="Times New Roman" w:hAnsi="Times New Roman"/>
          <w:sz w:val="24"/>
          <w:szCs w:val="24"/>
          <w:lang w:val="en-US"/>
        </w:rPr>
        <w:t xml:space="preserve"> dry weight.</w:t>
      </w:r>
    </w:p>
    <w:p w14:paraId="5B4B326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A2"/>
    <w:rsid w:val="00C976A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21AFB"/>
  <w15:chartTrackingRefBased/>
  <w15:docId w15:val="{5ECE8A92-ECFF-46F2-A0F6-14C2FC4E4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6A2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2020-04-14T00:38:00Z</dcterms:created>
  <dcterms:modified xsi:type="dcterms:W3CDTF">2020-04-14T00:38:00Z</dcterms:modified>
</cp:coreProperties>
</file>